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C7E77A5" w:rsidR="00093CA9" w:rsidRDefault="00C365BC"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7C8F38E" w:rsidR="00093CA9" w:rsidRDefault="00633D69" w:rsidP="00093CA9">
            <w:r>
              <w:t>Germany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A633E0A" w:rsidR="00093CA9" w:rsidRDefault="00527978" w:rsidP="00093CA9">
            <w:r w:rsidRPr="00527978">
              <w:t>Fertiliser Ordinance (</w:t>
            </w:r>
            <w:proofErr w:type="spellStart"/>
            <w:r w:rsidRPr="00527978">
              <w:t>Düngeverordnung</w:t>
            </w:r>
            <w:proofErr w:type="spellEnd"/>
            <w:r w:rsidRPr="00527978">
              <w:t xml:space="preserve"> </w:t>
            </w:r>
            <w:r w:rsidR="000E336F">
              <w:t>-</w:t>
            </w:r>
            <w:r w:rsidRPr="00527978">
              <w:t xml:space="preserve"> </w:t>
            </w:r>
            <w:proofErr w:type="spellStart"/>
            <w:r w:rsidRPr="00527978">
              <w:t>DüV</w:t>
            </w:r>
            <w:proofErr w:type="spellEnd"/>
            <w:r w:rsidRPr="00527978">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30BA740" w:rsidR="00093CA9" w:rsidRDefault="00C774DA" w:rsidP="00093CA9">
            <w:hyperlink r:id="rId17" w:history="1">
              <w:r w:rsidRPr="00027C73">
                <w:rPr>
                  <w:rStyle w:val="Hyperlink"/>
                </w:rPr>
                <w:t>https://web.archive.org/web/20250707084747/https://www.gesetze-im-internet.de/d_v_2017/</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6B574F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6C16AB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6DC2698" w:rsidR="00093CA9" w:rsidRDefault="0052797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A17611C" w14:textId="77777777" w:rsidR="00093CA9" w:rsidRDefault="00613B2D" w:rsidP="00093CA9">
            <w:r>
              <w:t>T</w:t>
            </w:r>
            <w:r w:rsidRPr="00613B2D">
              <w:t xml:space="preserve">he </w:t>
            </w:r>
            <w:proofErr w:type="spellStart"/>
            <w:r w:rsidRPr="00613B2D">
              <w:t>Düngeverordnung</w:t>
            </w:r>
            <w:proofErr w:type="spellEnd"/>
            <w:r w:rsidRPr="00613B2D">
              <w:t xml:space="preserve"> (</w:t>
            </w:r>
            <w:r>
              <w:t xml:space="preserve">often referred as the </w:t>
            </w:r>
            <w:r w:rsidRPr="00613B2D">
              <w:t>Fertiliser Ordinance</w:t>
            </w:r>
            <w:r>
              <w:t xml:space="preserve"> or </w:t>
            </w:r>
            <w:proofErr w:type="spellStart"/>
            <w:r w:rsidRPr="00613B2D">
              <w:t>DüV</w:t>
            </w:r>
            <w:proofErr w:type="spellEnd"/>
            <w:r w:rsidRPr="00613B2D">
              <w:t>)</w:t>
            </w:r>
            <w:r w:rsidR="00AA078E" w:rsidRPr="00AA078E">
              <w:t xml:space="preserve"> aims to protect the environment, especially water bodies, from pollution due to nutrient surpluses arising from fertiliser use in agriculture. It establishes binding requirements for the application of fertilisers, soil improvers, culture substrates and plant aids in accordance with good professional practice, ensuring the sustainable management of nitrogen and phosphorus on agricultural land (Section 1 </w:t>
            </w:r>
            <w:proofErr w:type="spellStart"/>
            <w:r w:rsidR="00AA078E" w:rsidRPr="00AA078E">
              <w:t>DüV</w:t>
            </w:r>
            <w:proofErr w:type="spellEnd"/>
            <w:r w:rsidR="00AA078E" w:rsidRPr="00AA078E">
              <w:t>).</w:t>
            </w:r>
          </w:p>
          <w:p w14:paraId="22EFB5E6" w14:textId="77777777" w:rsidR="00106699" w:rsidRDefault="0032729C" w:rsidP="00093CA9">
            <w:r w:rsidRPr="0032729C">
              <w:t xml:space="preserve">The </w:t>
            </w:r>
            <w:proofErr w:type="spellStart"/>
            <w:r w:rsidRPr="0032729C">
              <w:t>DüV</w:t>
            </w:r>
            <w:proofErr w:type="spellEnd"/>
            <w:r w:rsidRPr="0032729C">
              <w:t xml:space="preserve"> is a central implementing act of the </w:t>
            </w:r>
            <w:proofErr w:type="spellStart"/>
            <w:r w:rsidRPr="0032729C">
              <w:t>Düngegesetz</w:t>
            </w:r>
            <w:proofErr w:type="spellEnd"/>
            <w:r w:rsidRPr="0032729C">
              <w:t xml:space="preserve"> and serves to transpose the EU Nitrates Directive (91/676/EEC)</w:t>
            </w:r>
            <w:r>
              <w:t>.</w:t>
            </w:r>
          </w:p>
          <w:p w14:paraId="4DDB1C78" w14:textId="319D5EA1" w:rsidR="00605726" w:rsidRDefault="004E31CD" w:rsidP="00093CA9">
            <w:r w:rsidRPr="00605726">
              <w:t>Regarding</w:t>
            </w:r>
            <w:r w:rsidR="00605726" w:rsidRPr="00605726">
              <w:t xml:space="preserve"> methane abatement, th</w:t>
            </w:r>
            <w:r w:rsidR="00605726">
              <w:t xml:space="preserve">is policy tool </w:t>
            </w:r>
            <w:r w:rsidR="00605726" w:rsidRPr="00605726">
              <w:t>plays an indirect yet relevant role by regulating the use of organic fertilisers</w:t>
            </w:r>
            <w:r w:rsidR="00605726">
              <w:t xml:space="preserve">, </w:t>
            </w:r>
            <w:r w:rsidR="00605726" w:rsidRPr="00605726">
              <w:t>particularly liquid manure (</w:t>
            </w:r>
            <w:proofErr w:type="spellStart"/>
            <w:r w:rsidR="00605726" w:rsidRPr="00605726">
              <w:t>Gülle</w:t>
            </w:r>
            <w:proofErr w:type="spellEnd"/>
            <w:r w:rsidR="00605726" w:rsidRPr="00605726">
              <w:t>) and digestates from biogas plants</w:t>
            </w:r>
            <w:r w:rsidR="00605726">
              <w:t xml:space="preserve">, </w:t>
            </w:r>
            <w:r w:rsidR="00605726" w:rsidRPr="00605726">
              <w:t xml:space="preserve">which are significant sources of methane emissions if stored or applied improperly. Sections 6 and 12 </w:t>
            </w:r>
            <w:proofErr w:type="spellStart"/>
            <w:r w:rsidR="00605726" w:rsidRPr="00605726">
              <w:t>DüV</w:t>
            </w:r>
            <w:proofErr w:type="spellEnd"/>
            <w:r w:rsidR="00605726" w:rsidRPr="00605726">
              <w:t xml:space="preserve"> contain detailed technical prescriptions for the storage and application of these materials. For instance, liquid organic fertilisers must be incorporated into the soil within specific timeframes (Section 6(1))</w:t>
            </w:r>
            <w:r>
              <w:t xml:space="preserve"> </w:t>
            </w:r>
            <w:r w:rsidR="00605726" w:rsidRPr="00605726">
              <w:t>and farms must have sufficient storage capacity</w:t>
            </w:r>
            <w:r>
              <w:t xml:space="preserve"> (</w:t>
            </w:r>
            <w:r w:rsidR="00605726" w:rsidRPr="00605726">
              <w:t>typically for six to nine months</w:t>
            </w:r>
            <w:r>
              <w:t xml:space="preserve">) </w:t>
            </w:r>
            <w:r w:rsidR="00605726" w:rsidRPr="00605726">
              <w:t xml:space="preserve">to avoid spreading during inappropriate periods (Section 12 </w:t>
            </w:r>
            <w:proofErr w:type="spellStart"/>
            <w:r w:rsidR="00605726" w:rsidRPr="00605726">
              <w:t>DüV</w:t>
            </w:r>
            <w:proofErr w:type="spellEnd"/>
            <w:r w:rsidR="00605726" w:rsidRPr="00605726">
              <w:t>).</w:t>
            </w:r>
          </w:p>
          <w:p w14:paraId="3942CC11" w14:textId="77777777" w:rsidR="004E31CD" w:rsidRDefault="004E31CD" w:rsidP="00093CA9">
            <w:r w:rsidRPr="004E31CD">
              <w:t>These provisions reduce methane emissions primarily by:</w:t>
            </w:r>
          </w:p>
          <w:p w14:paraId="050E839B" w14:textId="77777777" w:rsidR="004E31CD" w:rsidRDefault="004E31CD" w:rsidP="004E31CD">
            <w:pPr>
              <w:pStyle w:val="ListParagraph"/>
              <w:numPr>
                <w:ilvl w:val="0"/>
                <w:numId w:val="49"/>
              </w:numPr>
            </w:pPr>
            <w:r>
              <w:t>Minimizing the anaerobic conditions that occur during improper storage</w:t>
            </w:r>
            <w:r w:rsidR="00CA7F9C">
              <w:t xml:space="preserve"> or field </w:t>
            </w:r>
            <w:proofErr w:type="gramStart"/>
            <w:r w:rsidR="00CA7F9C">
              <w:t>application;</w:t>
            </w:r>
            <w:proofErr w:type="gramEnd"/>
          </w:p>
          <w:p w14:paraId="583B52F9" w14:textId="77777777" w:rsidR="00CA7F9C" w:rsidRDefault="00CA7F9C" w:rsidP="004E31CD">
            <w:pPr>
              <w:pStyle w:val="ListParagraph"/>
              <w:numPr>
                <w:ilvl w:val="0"/>
                <w:numId w:val="49"/>
              </w:numPr>
            </w:pPr>
            <w:r>
              <w:t>Promoting techniques that limit volatilisation and accelerate nutrient uptake.</w:t>
            </w:r>
          </w:p>
          <w:p w14:paraId="18257824" w14:textId="458B6C71" w:rsidR="00CB14E6" w:rsidRDefault="00CB14E6" w:rsidP="00CB14E6">
            <w:r w:rsidRPr="00CB14E6">
              <w:t xml:space="preserve">The </w:t>
            </w:r>
            <w:proofErr w:type="spellStart"/>
            <w:r w:rsidRPr="00CB14E6">
              <w:t>DüV</w:t>
            </w:r>
            <w:proofErr w:type="spellEnd"/>
            <w:r w:rsidRPr="00CB14E6">
              <w:t xml:space="preserve"> does not impose methane-specific emission reduction targets or standards, but its technical and operational restrictions on organic fertiliser management contribute to the prevention of methane release in the agricultural sector.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66A7B5E" w:rsidR="00093CA9" w:rsidRDefault="005E572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62ED59E" w:rsidR="00093CA9" w:rsidRPr="00173D7C" w:rsidRDefault="001A5A43"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CE3BCC9" w:rsidR="00093CA9" w:rsidRPr="00173D7C" w:rsidRDefault="001A5A43" w:rsidP="00093CA9">
            <w:pPr>
              <w:rPr>
                <w:color w:val="000000" w:themeColor="text1"/>
              </w:rPr>
            </w:pPr>
            <w:r>
              <w:rPr>
                <w:color w:val="000000" w:themeColor="text1"/>
              </w:rPr>
              <w:t>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34B475C" w:rsidR="00093CA9" w:rsidRDefault="00C83528" w:rsidP="00093CA9">
            <w:r w:rsidRPr="00C83528">
              <w:t>Federal Ministry of Food and Agriculture, in agreement with the Federal Ministry for the Environment, Nature Conservation, Building and Nuclear Safety and the Federal Ministry of Finance, with the consent of the Bundesrat.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47307BF" w:rsidR="00093CA9" w:rsidRPr="006B7B0D" w:rsidRDefault="00AF7DEF" w:rsidP="00093CA9">
            <w:r w:rsidRPr="00AF7DEF">
              <w:t>State-level (</w:t>
            </w:r>
            <w:proofErr w:type="spellStart"/>
            <w:r w:rsidRPr="00AF7DEF">
              <w:t>Landesrecht</w:t>
            </w:r>
            <w:proofErr w:type="spellEnd"/>
            <w:r w:rsidRPr="00AF7DEF">
              <w:t>) authorities, designated under each federal state’s implementation rules.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5D84981" w:rsidR="00093CA9" w:rsidRPr="006B7B0D" w:rsidRDefault="00533A44"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97A54D2" w:rsidR="00093CA9" w:rsidRDefault="00B31652" w:rsidP="00093CA9">
            <w:r w:rsidRPr="00B31652">
              <w:t xml:space="preserve">While institutional frameworks and designated authorities exist in all Länder, significant variation persists in enforcement practices, digital infrastructure, and resourcing across regions. </w:t>
            </w:r>
            <w:proofErr w:type="gramStart"/>
            <w:r w:rsidRPr="00B31652">
              <w:t>In light of</w:t>
            </w:r>
            <w:proofErr w:type="gramEnd"/>
            <w:r w:rsidRPr="00B31652">
              <w:t xml:space="preserve"> these differences</w:t>
            </w:r>
            <w:r>
              <w:t xml:space="preserve"> (</w:t>
            </w:r>
            <w:r w:rsidRPr="00B31652">
              <w:t>and considering past shortcomings identified by the European Court of Justic</w:t>
            </w:r>
            <w:r>
              <w:t xml:space="preserve">e) </w:t>
            </w:r>
            <w:r w:rsidRPr="00B31652">
              <w:t xml:space="preserve">the competent authorities under Land law can be regarded as having medium capacity to implement and enforce the </w:t>
            </w:r>
            <w:proofErr w:type="spellStart"/>
            <w:r w:rsidRPr="00B31652">
              <w:t>Düngeverordnung</w:t>
            </w:r>
            <w:proofErr w:type="spellEnd"/>
            <w:r w:rsidRPr="00B31652">
              <w:t xml:space="preserve"> effectively.</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90FF834" w:rsidR="00093CA9" w:rsidRDefault="00552EA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E21CAC"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BEE3D75" w14:textId="324ED3B8" w:rsidR="00092A39" w:rsidRDefault="0086090A" w:rsidP="00C60C9F">
            <w:pPr>
              <w:keepNext/>
              <w:rPr>
                <w:color w:val="000000" w:themeColor="text1"/>
                <w:lang w:val="pt-PT"/>
              </w:rPr>
            </w:pPr>
            <w:r w:rsidRPr="00092A39">
              <w:rPr>
                <w:color w:val="000000" w:themeColor="text1"/>
                <w:lang w:val="pt-PT"/>
              </w:rPr>
              <w:t xml:space="preserve">- </w:t>
            </w:r>
            <w:r w:rsidR="00092A39" w:rsidRPr="00092A39">
              <w:rPr>
                <w:color w:val="000000" w:themeColor="text1"/>
                <w:lang w:val="pt-PT"/>
              </w:rPr>
              <w:t>Sect</w:t>
            </w:r>
            <w:r w:rsidR="006008FB">
              <w:rPr>
                <w:color w:val="000000" w:themeColor="text1"/>
                <w:lang w:val="pt-PT"/>
              </w:rPr>
              <w:t>ion</w:t>
            </w:r>
            <w:r w:rsidR="00092A39" w:rsidRPr="00092A39">
              <w:rPr>
                <w:color w:val="000000" w:themeColor="text1"/>
                <w:lang w:val="pt-PT"/>
              </w:rPr>
              <w:t xml:space="preserve"> 10</w:t>
            </w:r>
            <w:r w:rsidR="00D63EFE">
              <w:rPr>
                <w:color w:val="000000" w:themeColor="text1"/>
                <w:lang w:val="pt-PT"/>
              </w:rPr>
              <w:t>,</w:t>
            </w:r>
            <w:r w:rsidR="00092A39" w:rsidRPr="00092A39">
              <w:rPr>
                <w:color w:val="000000" w:themeColor="text1"/>
                <w:lang w:val="pt-PT"/>
              </w:rPr>
              <w:t xml:space="preserve"> paragraph 1-2 Düv</w:t>
            </w:r>
          </w:p>
          <w:p w14:paraId="5B07CC2D" w14:textId="67476AFA" w:rsidR="00E21CAC" w:rsidRPr="00E21CAC" w:rsidRDefault="00E21CAC" w:rsidP="00C60C9F">
            <w:pPr>
              <w:keepNext/>
              <w:rPr>
                <w:color w:val="000000" w:themeColor="text1"/>
                <w:lang w:val="en-US"/>
              </w:rPr>
            </w:pPr>
            <w:r w:rsidRPr="00E21CAC">
              <w:rPr>
                <w:color w:val="000000" w:themeColor="text1"/>
                <w:lang w:val="en-US"/>
              </w:rPr>
              <w:t>Farmers must</w:t>
            </w:r>
            <w:r>
              <w:rPr>
                <w:color w:val="000000" w:themeColor="text1"/>
                <w:lang w:val="en-US"/>
              </w:rPr>
              <w:t xml:space="preserve"> document the calculated nutrient demand before application and, within 14 days after </w:t>
            </w:r>
            <w:proofErr w:type="spellStart"/>
            <w:r w:rsidR="006008FB">
              <w:rPr>
                <w:color w:val="000000" w:themeColor="text1"/>
                <w:lang w:val="en-US"/>
              </w:rPr>
              <w:t>f</w:t>
            </w:r>
            <w:r w:rsidR="006008FB" w:rsidRPr="006008FB">
              <w:rPr>
                <w:color w:val="000000" w:themeColor="text1"/>
                <w:lang w:val="en-US"/>
              </w:rPr>
              <w:t>ertilisation</w:t>
            </w:r>
            <w:proofErr w:type="spellEnd"/>
            <w:r w:rsidR="006008FB" w:rsidRPr="006008FB">
              <w:rPr>
                <w:color w:val="000000" w:themeColor="text1"/>
                <w:lang w:val="en-US"/>
              </w:rPr>
              <w:t xml:space="preserve">, record the plot, type and amount of </w:t>
            </w:r>
            <w:r w:rsidR="006008FB">
              <w:rPr>
                <w:color w:val="000000" w:themeColor="text1"/>
                <w:lang w:val="en-US"/>
              </w:rPr>
              <w:t>fertilizer,</w:t>
            </w:r>
            <w:r w:rsidR="006008FB" w:rsidRPr="006008FB">
              <w:rPr>
                <w:color w:val="000000" w:themeColor="text1"/>
                <w:lang w:val="en-US"/>
              </w:rPr>
              <w:t xml:space="preserve"> and the nutrient quantities applied.</w:t>
            </w:r>
          </w:p>
          <w:p w14:paraId="5BA1438E" w14:textId="151CF81D" w:rsidR="00093CA9" w:rsidRDefault="00092A39" w:rsidP="00C60C9F">
            <w:pPr>
              <w:keepNext/>
              <w:rPr>
                <w:color w:val="000000" w:themeColor="text1"/>
                <w:lang w:val="en-US"/>
              </w:rPr>
            </w:pPr>
            <w:r w:rsidRPr="00E21CAC">
              <w:rPr>
                <w:color w:val="000000" w:themeColor="text1"/>
                <w:lang w:val="en-US"/>
              </w:rPr>
              <w:t xml:space="preserve">- </w:t>
            </w:r>
            <w:r w:rsidR="00C60C9F" w:rsidRPr="00E21CAC">
              <w:rPr>
                <w:color w:val="000000" w:themeColor="text1"/>
                <w:lang w:val="en-US"/>
              </w:rPr>
              <w:t>Sect</w:t>
            </w:r>
            <w:r w:rsidR="006008FB">
              <w:rPr>
                <w:color w:val="000000" w:themeColor="text1"/>
                <w:lang w:val="en-US"/>
              </w:rPr>
              <w:t>ion</w:t>
            </w:r>
            <w:r w:rsidR="00C60C9F" w:rsidRPr="00E21CAC">
              <w:rPr>
                <w:color w:val="000000" w:themeColor="text1"/>
                <w:lang w:val="en-US"/>
              </w:rPr>
              <w:t xml:space="preserve"> </w:t>
            </w:r>
            <w:r w:rsidR="00C60C9F" w:rsidRPr="00E21CAC">
              <w:rPr>
                <w:color w:val="000000" w:themeColor="text1"/>
                <w:lang w:val="en-US"/>
              </w:rPr>
              <w:t>10</w:t>
            </w:r>
            <w:r w:rsidR="00D63EFE">
              <w:rPr>
                <w:color w:val="000000" w:themeColor="text1"/>
                <w:lang w:val="en-US"/>
              </w:rPr>
              <w:t>,</w:t>
            </w:r>
            <w:r w:rsidR="00C60C9F" w:rsidRPr="00E21CAC">
              <w:rPr>
                <w:color w:val="000000" w:themeColor="text1"/>
                <w:lang w:val="en-US"/>
              </w:rPr>
              <w:t xml:space="preserve"> </w:t>
            </w:r>
            <w:r w:rsidR="00CC10A8" w:rsidRPr="00E21CAC">
              <w:rPr>
                <w:color w:val="000000" w:themeColor="text1"/>
                <w:lang w:val="en-US"/>
              </w:rPr>
              <w:t>paragraph</w:t>
            </w:r>
            <w:r w:rsidR="00C60C9F" w:rsidRPr="00E21CAC">
              <w:rPr>
                <w:color w:val="000000" w:themeColor="text1"/>
                <w:lang w:val="en-US"/>
              </w:rPr>
              <w:t> </w:t>
            </w:r>
            <w:r w:rsidR="00C60C9F" w:rsidRPr="00E21CAC">
              <w:rPr>
                <w:color w:val="000000" w:themeColor="text1"/>
                <w:lang w:val="en-US"/>
              </w:rPr>
              <w:t xml:space="preserve">5 </w:t>
            </w:r>
            <w:proofErr w:type="spellStart"/>
            <w:r w:rsidR="00C60C9F" w:rsidRPr="00E21CAC">
              <w:rPr>
                <w:color w:val="000000" w:themeColor="text1"/>
                <w:lang w:val="en-US"/>
              </w:rPr>
              <w:t>Dü</w:t>
            </w:r>
            <w:r w:rsidR="00C60C9F" w:rsidRPr="00E21CAC">
              <w:rPr>
                <w:color w:val="000000" w:themeColor="text1"/>
                <w:lang w:val="en-US"/>
              </w:rPr>
              <w:t>v</w:t>
            </w:r>
            <w:proofErr w:type="spellEnd"/>
          </w:p>
          <w:p w14:paraId="710C6271" w14:textId="128BBA33" w:rsidR="006008FB" w:rsidRDefault="006008FB" w:rsidP="00C60C9F">
            <w:pPr>
              <w:keepNext/>
              <w:rPr>
                <w:color w:val="000000" w:themeColor="text1"/>
                <w:lang w:val="en-US"/>
              </w:rPr>
            </w:pPr>
            <w:r>
              <w:rPr>
                <w:color w:val="000000" w:themeColor="text1"/>
                <w:lang w:val="en-US"/>
              </w:rPr>
              <w:t xml:space="preserve">Farmers </w:t>
            </w:r>
            <w:r w:rsidRPr="006008FB">
              <w:rPr>
                <w:color w:val="000000" w:themeColor="text1"/>
                <w:lang w:val="en-US"/>
              </w:rPr>
              <w:t>must compile an annual nutrient summary by 31 March of the following year and retain all records for seven years</w:t>
            </w:r>
            <w:r w:rsidR="003978CF">
              <w:rPr>
                <w:color w:val="000000" w:themeColor="text1"/>
                <w:lang w:val="en-US"/>
              </w:rPr>
              <w:t xml:space="preserve"> and present them on demand to the </w:t>
            </w:r>
            <w:proofErr w:type="gramStart"/>
            <w:r w:rsidR="003978CF">
              <w:rPr>
                <w:color w:val="000000" w:themeColor="text1"/>
                <w:lang w:val="en-US"/>
              </w:rPr>
              <w:t>authority</w:t>
            </w:r>
            <w:proofErr w:type="gramEnd"/>
            <w:r w:rsidR="003978CF">
              <w:rPr>
                <w:color w:val="000000" w:themeColor="text1"/>
                <w:lang w:val="en-US"/>
              </w:rPr>
              <w:t xml:space="preserve"> competent</w:t>
            </w:r>
            <w:r w:rsidR="003A0CBD">
              <w:rPr>
                <w:color w:val="000000" w:themeColor="text1"/>
                <w:lang w:val="en-US"/>
              </w:rPr>
              <w:t xml:space="preserve"> under Land law</w:t>
            </w:r>
            <w:r w:rsidRPr="006008FB">
              <w:rPr>
                <w:color w:val="000000" w:themeColor="text1"/>
                <w:lang w:val="en-US"/>
              </w:rPr>
              <w:t>.</w:t>
            </w:r>
          </w:p>
          <w:p w14:paraId="7689FC82" w14:textId="03B28BF1" w:rsidR="00D63EFE" w:rsidRDefault="006008FB" w:rsidP="00D63EFE">
            <w:pPr>
              <w:keepNext/>
              <w:rPr>
                <w:color w:val="000000" w:themeColor="text1"/>
                <w:lang w:val="en-US"/>
              </w:rPr>
            </w:pPr>
            <w:r w:rsidRPr="006008FB">
              <w:rPr>
                <w:color w:val="000000" w:themeColor="text1"/>
                <w:lang w:val="en-US"/>
              </w:rPr>
              <w:t>-</w:t>
            </w:r>
            <w:r>
              <w:rPr>
                <w:color w:val="000000" w:themeColor="text1"/>
                <w:lang w:val="en-US"/>
              </w:rPr>
              <w:t xml:space="preserve"> Section</w:t>
            </w:r>
            <w:r w:rsidR="00D63EFE">
              <w:rPr>
                <w:color w:val="000000" w:themeColor="text1"/>
                <w:lang w:val="en-US"/>
              </w:rPr>
              <w:t xml:space="preserve"> 1</w:t>
            </w:r>
            <w:r w:rsidR="003A0CBD">
              <w:rPr>
                <w:color w:val="000000" w:themeColor="text1"/>
                <w:lang w:val="en-US"/>
              </w:rPr>
              <w:t>3</w:t>
            </w:r>
            <w:r w:rsidR="00D63EFE">
              <w:rPr>
                <w:color w:val="000000" w:themeColor="text1"/>
                <w:lang w:val="en-US"/>
              </w:rPr>
              <w:t>,</w:t>
            </w:r>
            <w:r w:rsidR="00D63EFE" w:rsidRPr="00E21CAC">
              <w:rPr>
                <w:color w:val="000000" w:themeColor="text1"/>
                <w:lang w:val="en-US"/>
              </w:rPr>
              <w:t xml:space="preserve"> paragraph </w:t>
            </w:r>
            <w:r w:rsidR="0050412E">
              <w:rPr>
                <w:color w:val="000000" w:themeColor="text1"/>
                <w:lang w:val="en-US"/>
              </w:rPr>
              <w:t>2</w:t>
            </w:r>
            <w:r w:rsidR="00D63EFE" w:rsidRPr="00E21CAC">
              <w:rPr>
                <w:color w:val="000000" w:themeColor="text1"/>
                <w:lang w:val="en-US"/>
              </w:rPr>
              <w:t xml:space="preserve"> </w:t>
            </w:r>
            <w:proofErr w:type="spellStart"/>
            <w:r w:rsidR="00D63EFE" w:rsidRPr="00E21CAC">
              <w:rPr>
                <w:color w:val="000000" w:themeColor="text1"/>
                <w:lang w:val="en-US"/>
              </w:rPr>
              <w:t>Düv</w:t>
            </w:r>
            <w:proofErr w:type="spellEnd"/>
          </w:p>
          <w:p w14:paraId="2C2128DB" w14:textId="0CC445D9" w:rsidR="006008FB" w:rsidRPr="006008FB" w:rsidRDefault="0050412E" w:rsidP="006008FB">
            <w:pPr>
              <w:keepNext/>
              <w:rPr>
                <w:color w:val="000000" w:themeColor="text1"/>
                <w:lang w:val="en-US"/>
              </w:rPr>
            </w:pPr>
            <w:r>
              <w:rPr>
                <w:color w:val="000000" w:themeColor="text1"/>
                <w:lang w:val="en-US"/>
              </w:rPr>
              <w:t xml:space="preserve">Land </w:t>
            </w:r>
            <w:r w:rsidR="005D6020" w:rsidRPr="005D6020">
              <w:rPr>
                <w:color w:val="000000" w:themeColor="text1"/>
                <w:lang w:val="en-US"/>
              </w:rPr>
              <w:t>governments may enact further obligations via ordinance</w:t>
            </w:r>
            <w:r w:rsidR="005D6020">
              <w:rPr>
                <w:color w:val="000000" w:themeColor="text1"/>
                <w:lang w:val="en-US"/>
              </w:rPr>
              <w:t>.</w:t>
            </w:r>
          </w:p>
        </w:tc>
      </w:tr>
    </w:tbl>
    <w:p w14:paraId="6F36141D" w14:textId="193F21DA" w:rsidR="005F3137" w:rsidRPr="00E21CAC" w:rsidRDefault="005F3137">
      <w:pPr>
        <w:rPr>
          <w:lang w:val="en-US"/>
        </w:rPr>
      </w:pPr>
    </w:p>
    <w:p w14:paraId="4E5E0234" w14:textId="5F707638" w:rsidR="00A40404" w:rsidRDefault="005E50FD" w:rsidP="00A40404">
      <w:pPr>
        <w:pStyle w:val="Heading1"/>
      </w:pPr>
      <w:r w:rsidRPr="00E21CAC">
        <w:rPr>
          <w:lang w:val="en-US"/>
        </w:rP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C54B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C54B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C54B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C54B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C54B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624"/>
        <w:gridCol w:w="4153"/>
        <w:gridCol w:w="293"/>
        <w:gridCol w:w="1846"/>
        <w:gridCol w:w="1757"/>
        <w:gridCol w:w="1788"/>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318F667" w:rsidR="002F0752" w:rsidRPr="00CF2E7C" w:rsidRDefault="0030202E"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696C8B3C" w:rsidR="002F0752" w:rsidRPr="00CF2E7C" w:rsidRDefault="0030202E"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FB1B1D2" w:rsidR="002F0752" w:rsidRPr="00CF2E7C" w:rsidRDefault="0030202E"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4DECD1F" w:rsidR="002F0752" w:rsidRPr="00CF2E7C" w:rsidRDefault="0030202E"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3BF3CA0" w:rsidR="002F0752" w:rsidRPr="00CF2E7C" w:rsidRDefault="0030202E"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A85C85B" w:rsidR="002F0752" w:rsidRPr="00CF2E7C" w:rsidRDefault="0030202E"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E09F741" w:rsidR="002F0752" w:rsidRPr="00CF2E7C" w:rsidRDefault="00F25218"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F5F397F" w:rsidR="002F0752" w:rsidRPr="00CF2E7C" w:rsidRDefault="00F25218"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326FE585" w:rsidR="002F0752" w:rsidRPr="00CF2E7C" w:rsidRDefault="0030202E"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09C4EF32" w:rsidR="002F0752" w:rsidRPr="00CF2E7C" w:rsidRDefault="0030202E"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32DC8E2" w:rsidR="002F0752" w:rsidRPr="00CF2E7C" w:rsidRDefault="00F2521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0E803070" w:rsidR="002F0752" w:rsidRPr="00CF2E7C" w:rsidRDefault="00F25218"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66CF0437" w:rsidR="002F0752" w:rsidRPr="00CF2E7C" w:rsidRDefault="00F25218"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695373FA" w:rsidR="002F0752" w:rsidRPr="00CF2E7C" w:rsidRDefault="00605278"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6CCF493" w:rsidR="002F0752" w:rsidRPr="00CF2E7C" w:rsidRDefault="00605278"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508E6E8D" w:rsidR="002F0752" w:rsidRPr="00CF2E7C" w:rsidRDefault="00605278"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0EA6626E" w:rsidR="002F0752" w:rsidRPr="00CF2E7C" w:rsidRDefault="00605278"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1D09A700" w:rsidR="002F0752" w:rsidRPr="00CF2E7C" w:rsidRDefault="00605278"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5AA8BD8D" w:rsidR="002F0752" w:rsidRPr="00CF2E7C" w:rsidRDefault="00605278"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24E8CD8" w:rsidR="002F0752" w:rsidRPr="00CF2E7C" w:rsidRDefault="00605278"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2AE291E4" w:rsidR="002F0752" w:rsidRPr="00CF2E7C" w:rsidRDefault="00605278"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5A925FF" w:rsidR="002F0752" w:rsidRPr="00CF2E7C" w:rsidRDefault="00605278"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4E490FD" w:rsidR="002F0752" w:rsidRPr="00CF2E7C" w:rsidRDefault="00605278"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A78E838" w:rsidR="002F0752" w:rsidRPr="00CF2E7C" w:rsidRDefault="00605278"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B7182E2" w:rsidR="002F0752" w:rsidRPr="00CF2E7C" w:rsidRDefault="00605278"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4CB71070" w:rsidR="002F0752" w:rsidRPr="00CF2E7C" w:rsidRDefault="00605278"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5FE67BD" w:rsidR="002F0752" w:rsidRPr="00CF2E7C" w:rsidRDefault="00605278"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BDE8957" w:rsidR="002F0752" w:rsidRPr="00CF2E7C" w:rsidRDefault="00605278"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347939E" w:rsidR="002F0752" w:rsidRPr="00CF2E7C" w:rsidRDefault="00605278"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BF6D30A" w:rsidR="002F0752" w:rsidRPr="00CF2E7C" w:rsidRDefault="00605278"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070AFAC8" w:rsidR="002F0752" w:rsidRPr="00CF2E7C" w:rsidRDefault="00605278"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4B437D75" w:rsidR="002F0752" w:rsidRPr="00CF2E7C" w:rsidRDefault="00605278"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30D12F" w:rsidR="002F0752" w:rsidRPr="00CF2E7C" w:rsidRDefault="00605278"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26D5F68E" w:rsidR="002F0752" w:rsidRPr="00CF2E7C" w:rsidRDefault="00605278"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lastRenderedPageBreak/>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9607070" w:rsidR="002F0752" w:rsidRPr="00CF2E7C" w:rsidRDefault="00605278"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323A74F2" w:rsidR="002F0752" w:rsidRPr="00CF2E7C" w:rsidRDefault="00460D7B" w:rsidP="00CF2E7C">
            <w:pPr>
              <w:rPr>
                <w:rFonts w:ascii="Calibri" w:hAnsi="Calibri" w:cs="Calibri"/>
              </w:rPr>
            </w:pPr>
            <w:r w:rsidRPr="00460D7B">
              <w:rPr>
                <w:rFonts w:ascii="Calibri" w:hAnsi="Calibri" w:cs="Calibri"/>
              </w:rPr>
              <w:t xml:space="preserve">The </w:t>
            </w:r>
            <w:proofErr w:type="spellStart"/>
            <w:r w:rsidRPr="00460D7B">
              <w:rPr>
                <w:rFonts w:ascii="Calibri" w:hAnsi="Calibri" w:cs="Calibri"/>
              </w:rPr>
              <w:t>DüV</w:t>
            </w:r>
            <w:proofErr w:type="spellEnd"/>
            <w:r w:rsidRPr="00460D7B">
              <w:rPr>
                <w:rFonts w:ascii="Calibri" w:hAnsi="Calibri" w:cs="Calibri"/>
              </w:rPr>
              <w:t xml:space="preserve"> imposes uniform duties across the agricultural sector in principle, but certain obligations vary depending on farm characteristics, such as</w:t>
            </w:r>
            <w:r>
              <w:rPr>
                <w:rFonts w:ascii="Calibri" w:hAnsi="Calibri" w:cs="Calibri"/>
              </w:rPr>
              <w:t xml:space="preserve"> farm size and nutrient volume (Sect</w:t>
            </w:r>
            <w:r w:rsidR="00AE3BA1">
              <w:rPr>
                <w:rFonts w:ascii="Calibri" w:hAnsi="Calibri" w:cs="Calibri"/>
              </w:rPr>
              <w:t>ion</w:t>
            </w:r>
            <w:r>
              <w:rPr>
                <w:rFonts w:ascii="Calibri" w:hAnsi="Calibri" w:cs="Calibri"/>
              </w:rPr>
              <w:t xml:space="preserve"> 10, paragraph 3 no. </w:t>
            </w:r>
            <w:r w:rsidR="00AE3BA1">
              <w:rPr>
                <w:rFonts w:ascii="Calibri" w:hAnsi="Calibri" w:cs="Calibri"/>
              </w:rPr>
              <w:t xml:space="preserve">3-4 </w:t>
            </w:r>
            <w:proofErr w:type="spellStart"/>
            <w:r w:rsidR="00AE3BA1" w:rsidRPr="00AE3BA1">
              <w:rPr>
                <w:rFonts w:ascii="Calibri" w:hAnsi="Calibri" w:cs="Calibri"/>
              </w:rPr>
              <w:t>DüV</w:t>
            </w:r>
            <w:proofErr w:type="spellEnd"/>
            <w:r>
              <w:rPr>
                <w:rFonts w:ascii="Calibri" w:hAnsi="Calibri" w:cs="Calibri"/>
              </w:rPr>
              <w:t>)</w:t>
            </w:r>
            <w:r w:rsidR="00AE3BA1">
              <w:rPr>
                <w:rFonts w:ascii="Calibri" w:hAnsi="Calibri" w:cs="Calibri"/>
              </w:rPr>
              <w:t>, livestock density (</w:t>
            </w:r>
            <w:r w:rsidR="00AE3BA1">
              <w:rPr>
                <w:rFonts w:ascii="Calibri" w:hAnsi="Calibri" w:cs="Calibri"/>
              </w:rPr>
              <w:t>Sect</w:t>
            </w:r>
            <w:r w:rsidR="00AE3BA1">
              <w:rPr>
                <w:rFonts w:ascii="Calibri" w:hAnsi="Calibri" w:cs="Calibri"/>
              </w:rPr>
              <w:t>ion</w:t>
            </w:r>
            <w:r w:rsidR="00AE3BA1">
              <w:rPr>
                <w:rFonts w:ascii="Calibri" w:hAnsi="Calibri" w:cs="Calibri"/>
              </w:rPr>
              <w:t xml:space="preserve"> 1</w:t>
            </w:r>
            <w:r w:rsidR="00AE3BA1">
              <w:rPr>
                <w:rFonts w:ascii="Calibri" w:hAnsi="Calibri" w:cs="Calibri"/>
              </w:rPr>
              <w:t>2</w:t>
            </w:r>
            <w:r w:rsidR="00AE3BA1">
              <w:rPr>
                <w:rFonts w:ascii="Calibri" w:hAnsi="Calibri" w:cs="Calibri"/>
              </w:rPr>
              <w:t xml:space="preserve">, paragraph 3 </w:t>
            </w:r>
            <w:proofErr w:type="spellStart"/>
            <w:r w:rsidR="00AE3BA1" w:rsidRPr="00AE3BA1">
              <w:rPr>
                <w:rFonts w:ascii="Calibri" w:hAnsi="Calibri" w:cs="Calibri"/>
              </w:rPr>
              <w:t>DüV</w:t>
            </w:r>
            <w:proofErr w:type="spellEnd"/>
            <w:r w:rsidR="00AE3BA1">
              <w:rPr>
                <w:rFonts w:ascii="Calibri" w:hAnsi="Calibri" w:cs="Calibri"/>
              </w:rPr>
              <w:t>)</w:t>
            </w:r>
            <w:r w:rsidR="009F3C95">
              <w:rPr>
                <w:rFonts w:ascii="Calibri" w:hAnsi="Calibri" w:cs="Calibri"/>
              </w:rPr>
              <w:t>, and farm systems (Section 6, paragraph</w:t>
            </w:r>
            <w:r w:rsidR="00DE127A">
              <w:rPr>
                <w:rFonts w:ascii="Calibri" w:hAnsi="Calibri" w:cs="Calibri"/>
              </w:rPr>
              <w:t>s</w:t>
            </w:r>
            <w:r w:rsidR="009F3C95">
              <w:rPr>
                <w:rFonts w:ascii="Calibri" w:hAnsi="Calibri" w:cs="Calibri"/>
              </w:rPr>
              <w:t xml:space="preserve"> 1 and 4</w:t>
            </w:r>
            <w:r w:rsidR="00DE127A">
              <w:rPr>
                <w:rFonts w:ascii="Calibri" w:hAnsi="Calibri" w:cs="Calibri"/>
              </w:rPr>
              <w:t xml:space="preserve"> </w:t>
            </w:r>
            <w:proofErr w:type="spellStart"/>
            <w:r w:rsidR="00DE127A" w:rsidRPr="00AE3BA1">
              <w:rPr>
                <w:rFonts w:ascii="Calibri" w:hAnsi="Calibri" w:cs="Calibri"/>
              </w:rPr>
              <w:t>DüV</w:t>
            </w:r>
            <w:proofErr w:type="spellEnd"/>
            <w:r w:rsidR="009F3C95">
              <w:rPr>
                <w:rFonts w:ascii="Calibri" w:hAnsi="Calibri" w:cs="Calibri"/>
              </w:rPr>
              <w:t>)</w:t>
            </w:r>
            <w:r w:rsidR="00DE127A">
              <w:rPr>
                <w:rFonts w:ascii="Calibri" w:hAnsi="Calibri" w:cs="Calibri"/>
              </w:rPr>
              <w:t>.</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C54B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2CA3E77C" w:rsidR="002F0752" w:rsidRPr="00CF2E7C" w:rsidRDefault="000152B1" w:rsidP="000152B1">
            <w:pPr>
              <w:rPr>
                <w:rFonts w:ascii="Calibri" w:hAnsi="Calibri" w:cs="Calibri"/>
              </w:rPr>
            </w:pPr>
            <w:r w:rsidRPr="000152B1">
              <w:rPr>
                <w:rFonts w:ascii="Calibri" w:hAnsi="Calibri" w:cs="Calibri"/>
              </w:rPr>
              <w:t>Compliance depends on the application of fertilisers and agronomic factors, such as</w:t>
            </w:r>
            <w:r>
              <w:rPr>
                <w:rFonts w:ascii="Calibri" w:hAnsi="Calibri" w:cs="Calibri"/>
              </w:rPr>
              <w:t xml:space="preserve"> t</w:t>
            </w:r>
            <w:r w:rsidRPr="000152B1">
              <w:rPr>
                <w:rFonts w:ascii="Calibri" w:hAnsi="Calibri" w:cs="Calibri"/>
              </w:rPr>
              <w:t>ype and quantity of nutrients,</w:t>
            </w:r>
            <w:r>
              <w:rPr>
                <w:rFonts w:ascii="Calibri" w:hAnsi="Calibri" w:cs="Calibri"/>
              </w:rPr>
              <w:t xml:space="preserve"> a</w:t>
            </w:r>
            <w:r w:rsidRPr="000152B1">
              <w:rPr>
                <w:rFonts w:ascii="Calibri" w:hAnsi="Calibri" w:cs="Calibri"/>
              </w:rPr>
              <w:t>rea managed,</w:t>
            </w:r>
            <w:r>
              <w:rPr>
                <w:rFonts w:ascii="Calibri" w:hAnsi="Calibri" w:cs="Calibri"/>
              </w:rPr>
              <w:t xml:space="preserve"> u</w:t>
            </w:r>
            <w:r w:rsidRPr="000152B1">
              <w:rPr>
                <w:rFonts w:ascii="Calibri" w:hAnsi="Calibri" w:cs="Calibri"/>
              </w:rPr>
              <w:t>se of livestock manure or digestates.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6839F23" w:rsidR="002F0752" w:rsidRPr="00CF2E7C" w:rsidRDefault="00B34244"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lastRenderedPageBreak/>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31F2D19C" w:rsidR="002F0752" w:rsidRPr="00CF2E7C" w:rsidRDefault="009259A5"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3739C8" w:rsidR="00A01A45" w:rsidRPr="00CF2E7C" w:rsidRDefault="001B69EE" w:rsidP="00CF2E7C">
            <w:pPr>
              <w:rPr>
                <w:rFonts w:ascii="Calibri" w:hAnsi="Calibri" w:cs="Calibri"/>
              </w:rPr>
            </w:pPr>
            <w:r w:rsidRPr="001B69EE">
              <w:rPr>
                <w:rFonts w:ascii="Calibri" w:hAnsi="Calibri" w:cs="Calibri"/>
              </w:rPr>
              <w:t xml:space="preserve">Non-compliance with technical, procedural or administrative obligations under the </w:t>
            </w:r>
            <w:proofErr w:type="spellStart"/>
            <w:r w:rsidRPr="001B69EE">
              <w:rPr>
                <w:rFonts w:ascii="Calibri" w:hAnsi="Calibri" w:cs="Calibri"/>
              </w:rPr>
              <w:t>DüV</w:t>
            </w:r>
            <w:proofErr w:type="spellEnd"/>
            <w:r w:rsidRPr="001B69EE">
              <w:rPr>
                <w:rFonts w:ascii="Calibri" w:hAnsi="Calibri" w:cs="Calibri"/>
              </w:rPr>
              <w:t xml:space="preserve"> constitutes an administrative offence under </w:t>
            </w:r>
            <w:r>
              <w:rPr>
                <w:rFonts w:ascii="Calibri" w:hAnsi="Calibri" w:cs="Calibri"/>
              </w:rPr>
              <w:t>Section</w:t>
            </w:r>
            <w:r w:rsidRPr="001B69EE">
              <w:rPr>
                <w:rFonts w:ascii="Calibri" w:hAnsi="Calibri" w:cs="Calibri"/>
              </w:rPr>
              <w:t xml:space="preserve"> 14 </w:t>
            </w:r>
            <w:proofErr w:type="spellStart"/>
            <w:r w:rsidRPr="001B69EE">
              <w:rPr>
                <w:rFonts w:ascii="Calibri" w:hAnsi="Calibri" w:cs="Calibri"/>
              </w:rPr>
              <w:t>DüV</w:t>
            </w:r>
            <w:proofErr w:type="spellEnd"/>
            <w:r>
              <w:rPr>
                <w:rFonts w:ascii="Calibri" w:hAnsi="Calibri" w:cs="Calibri"/>
              </w:rPr>
              <w:t>. This</w:t>
            </w:r>
            <w:r w:rsidRPr="001B69EE">
              <w:rPr>
                <w:rFonts w:ascii="Calibri" w:hAnsi="Calibri" w:cs="Calibri"/>
              </w:rPr>
              <w:t xml:space="preserve"> may result in a monetary fine pursuant to </w:t>
            </w:r>
            <w:r>
              <w:rPr>
                <w:rFonts w:ascii="Calibri" w:hAnsi="Calibri" w:cs="Calibri"/>
              </w:rPr>
              <w:t>Section</w:t>
            </w:r>
            <w:r w:rsidRPr="001B69EE">
              <w:rPr>
                <w:rFonts w:ascii="Calibri" w:hAnsi="Calibri" w:cs="Calibri"/>
              </w:rPr>
              <w:t xml:space="preserve"> 10 </w:t>
            </w:r>
            <w:proofErr w:type="spellStart"/>
            <w:r w:rsidRPr="001B69EE">
              <w:rPr>
                <w:rFonts w:ascii="Calibri" w:hAnsi="Calibri" w:cs="Calibri"/>
              </w:rPr>
              <w:t>Düngegesetz</w:t>
            </w:r>
            <w:proofErr w:type="spellEnd"/>
            <w:r>
              <w:rPr>
                <w:rFonts w:ascii="Calibri" w:hAnsi="Calibri" w:cs="Calibri"/>
              </w:rPr>
              <w:t xml:space="preserve"> (</w:t>
            </w:r>
            <w:r w:rsidRPr="001B69EE">
              <w:rPr>
                <w:rFonts w:ascii="Calibri" w:hAnsi="Calibri" w:cs="Calibri"/>
              </w:rPr>
              <w:t>sets the general framework for imposing monetary fines up to EUR 50,000 for such administrative offences</w:t>
            </w:r>
            <w:r>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085C29DD" w:rsidR="002F0752" w:rsidRPr="00CF2E7C" w:rsidRDefault="00465148"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22C55BB6"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5B34D6B4"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57DAC1E4" w:rsidR="002F0752" w:rsidRPr="00CF2E7C" w:rsidRDefault="00910B85" w:rsidP="00CF2E7C">
            <w:pPr>
              <w:rPr>
                <w:rFonts w:ascii="Calibri" w:hAnsi="Calibri" w:cs="Calibri"/>
              </w:rPr>
            </w:pPr>
            <w:r w:rsidRPr="00910B85">
              <w:rPr>
                <w:rFonts w:ascii="Calibri" w:hAnsi="Calibri" w:cs="Calibri"/>
              </w:rPr>
              <w:t>References found in agricultural media and legal commentary generally describe the policy tool and its potential consequences, but no fully documented enforcement actions are currently published in open-access sources.</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609D8AB4" w:rsidR="002F0752" w:rsidRPr="00CF2E7C" w:rsidRDefault="0014110D"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2F67326" w14:textId="77777777" w:rsidR="002F0752" w:rsidRDefault="0096346D" w:rsidP="00CF2E7C">
            <w:pPr>
              <w:rPr>
                <w:rFonts w:ascii="Calibri" w:hAnsi="Calibri" w:cs="Calibri"/>
              </w:rPr>
            </w:pPr>
            <w:r w:rsidRPr="0096346D">
              <w:rPr>
                <w:rFonts w:ascii="Calibri" w:hAnsi="Calibri" w:cs="Calibri"/>
              </w:rPr>
              <w:t xml:space="preserve">A group of Lower Saxony farmers filed a norm control application against the state-level ordinance designating nitrate-sensitive areas (“rote </w:t>
            </w:r>
            <w:proofErr w:type="spellStart"/>
            <w:r w:rsidRPr="0096346D">
              <w:rPr>
                <w:rFonts w:ascii="Calibri" w:hAnsi="Calibri" w:cs="Calibri"/>
              </w:rPr>
              <w:t>Gebiete</w:t>
            </w:r>
            <w:proofErr w:type="spellEnd"/>
            <w:r w:rsidRPr="0096346D">
              <w:rPr>
                <w:rFonts w:ascii="Calibri" w:hAnsi="Calibri" w:cs="Calibri"/>
              </w:rPr>
              <w:t xml:space="preserve">”) under the </w:t>
            </w:r>
            <w:proofErr w:type="spellStart"/>
            <w:r w:rsidRPr="0096346D">
              <w:rPr>
                <w:rFonts w:ascii="Calibri" w:hAnsi="Calibri" w:cs="Calibri"/>
              </w:rPr>
              <w:t>DüV</w:t>
            </w:r>
            <w:proofErr w:type="spellEnd"/>
            <w:r w:rsidRPr="0096346D">
              <w:rPr>
                <w:rFonts w:ascii="Calibri" w:hAnsi="Calibri" w:cs="Calibri"/>
              </w:rPr>
              <w:t xml:space="preserve"> framework.</w:t>
            </w:r>
            <w:r w:rsidR="00B60C20">
              <w:rPr>
                <w:rFonts w:ascii="Calibri" w:hAnsi="Calibri" w:cs="Calibri"/>
              </w:rPr>
              <w:t xml:space="preserve"> </w:t>
            </w:r>
            <w:r w:rsidR="00B60C20" w:rsidRPr="00B60C20">
              <w:rPr>
                <w:rFonts w:ascii="Calibri" w:hAnsi="Calibri" w:cs="Calibri"/>
              </w:rPr>
              <w:t>They argued the identification process was flawed and the resulting fertilisation restrictions disproportionate.</w:t>
            </w:r>
          </w:p>
          <w:p w14:paraId="4467EDC6" w14:textId="644726EA" w:rsidR="00B60C20" w:rsidRPr="00CF2E7C" w:rsidRDefault="00B60C20" w:rsidP="00CF2E7C">
            <w:pPr>
              <w:rPr>
                <w:rFonts w:ascii="Calibri" w:hAnsi="Calibri" w:cs="Calibri"/>
              </w:rPr>
            </w:pPr>
            <w:r>
              <w:rPr>
                <w:rFonts w:ascii="Calibri" w:hAnsi="Calibri" w:cs="Calibri"/>
              </w:rPr>
              <w:t>Available at:</w:t>
            </w:r>
            <w:r w:rsidR="00872479">
              <w:rPr>
                <w:rFonts w:ascii="Calibri" w:hAnsi="Calibri" w:cs="Calibri"/>
              </w:rPr>
              <w:t xml:space="preserve"> </w:t>
            </w:r>
            <w:hyperlink r:id="rId20" w:history="1">
              <w:r w:rsidR="00872479" w:rsidRPr="008E19AD">
                <w:rPr>
                  <w:rStyle w:val="Hyperlink"/>
                  <w:rFonts w:ascii="Calibri" w:hAnsi="Calibri" w:cs="Calibri"/>
                </w:rPr>
                <w:t>https://web.archive.org/web/20250707102623/https://oberverwaltungsgericht.niedersachsen.de/aktuelles/presseinformationen/ausweisung-der-roten-gebiete-in-niedersachsen-ist-unwirksam-239116.html</w:t>
              </w:r>
            </w:hyperlink>
            <w:r w:rsidR="00872479">
              <w:rPr>
                <w:rFonts w:ascii="Calibri" w:hAnsi="Calibri" w:cs="Calibri"/>
              </w:rPr>
              <w:t xml:space="preserve"> </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A60C0E7" w:rsidR="002F0752" w:rsidRPr="00CF2E7C" w:rsidRDefault="00E506A8"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lastRenderedPageBreak/>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lastRenderedPageBreak/>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E41FEE" w:rsidRPr="00CF2E7C" w14:paraId="3817C5A6" w14:textId="77777777" w:rsidTr="00A029A5">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E41FEE" w:rsidRPr="00CF2E7C" w:rsidRDefault="00E41FEE" w:rsidP="00E41FEE">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tcPr>
          <w:p w14:paraId="5AD4F92E" w14:textId="4AA4CCE1" w:rsidR="00E41FEE" w:rsidRPr="00CF2E7C" w:rsidRDefault="00E41FEE" w:rsidP="00E41FEE">
            <w:pPr>
              <w:rPr>
                <w:rFonts w:ascii="Calibri" w:hAnsi="Calibri" w:cs="Calibri"/>
              </w:rPr>
            </w:pPr>
            <w:r w:rsidRPr="00634868">
              <w:rPr>
                <w:rFonts w:ascii="Calibri" w:hAnsi="Calibri" w:cs="Calibri"/>
              </w:rPr>
              <w:t xml:space="preserve">Does the </w:t>
            </w:r>
            <w:r w:rsidRPr="00634868">
              <w:rPr>
                <w:rFonts w:ascii="Calibri" w:eastAsia="Times New Roman" w:hAnsi="Calibri" w:cs="Calibri"/>
                <w:b/>
                <w:color w:val="7030A0"/>
                <w:kern w:val="0"/>
                <w:lang w:val="en-SG" w:eastAsia="en-GB"/>
                <w14:ligatures w14:val="none"/>
              </w:rPr>
              <w:t>policy tool</w:t>
            </w:r>
            <w:r w:rsidRPr="00634868">
              <w:rPr>
                <w:rFonts w:ascii="Calibri" w:eastAsia="Times New Roman" w:hAnsi="Calibri" w:cs="Calibri"/>
                <w:color w:val="7030A0"/>
                <w:kern w:val="0"/>
                <w:lang w:val="en-SG" w:eastAsia="en-GB"/>
                <w14:ligatures w14:val="none"/>
              </w:rPr>
              <w:t xml:space="preserve"> </w:t>
            </w:r>
            <w:r w:rsidRPr="00634868">
              <w:rPr>
                <w:rFonts w:ascii="Calibri" w:hAnsi="Calibri" w:cs="Calibri"/>
              </w:rPr>
              <w:t xml:space="preserve">recommend or require the integration of methane emissions into pricing schemes (such as national </w:t>
            </w:r>
            <w:r w:rsidRPr="00634868">
              <w:rPr>
                <w:rFonts w:ascii="Calibri" w:hAnsi="Calibri" w:cs="Calibri"/>
                <w:b/>
                <w:color w:val="7030A0"/>
              </w:rPr>
              <w:t xml:space="preserve">emissions trading schemes </w:t>
            </w:r>
            <w:r w:rsidRPr="00634868">
              <w:rPr>
                <w:rFonts w:ascii="Calibri" w:hAnsi="Calibri" w:cs="Calibri"/>
              </w:rPr>
              <w:t xml:space="preserve">and/or </w:t>
            </w:r>
            <w:r w:rsidRPr="00634868">
              <w:rPr>
                <w:rFonts w:ascii="Calibri" w:hAnsi="Calibri" w:cs="Calibri"/>
                <w:b/>
                <w:color w:val="7030A0"/>
              </w:rPr>
              <w:t>carbon tax</w:t>
            </w:r>
            <w:r w:rsidRPr="00634868">
              <w:rPr>
                <w:rFonts w:ascii="Calibri" w:hAnsi="Calibri" w:cs="Calibri"/>
                <w:b/>
                <w:bCs/>
                <w:color w:val="7030A0"/>
              </w:rPr>
              <w:t xml:space="preserve"> </w:t>
            </w:r>
            <w:r w:rsidRPr="00634868">
              <w:rPr>
                <w:rFonts w:ascii="Calibri" w:hAnsi="Calibri" w:cs="Calibri"/>
              </w:rPr>
              <w:t xml:space="preserve">schemes)? </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E41FEE" w:rsidRPr="00CF2E7C" w:rsidRDefault="00E41FEE" w:rsidP="00E41FEE">
            <w:pPr>
              <w:rPr>
                <w:rFonts w:ascii="Calibri" w:hAnsi="Calibri" w:cs="Calibri"/>
              </w:rPr>
            </w:pPr>
          </w:p>
        </w:tc>
      </w:tr>
      <w:tr w:rsidR="00E41FEE" w:rsidRPr="00CF2E7C" w14:paraId="46E6E7BF" w14:textId="77777777" w:rsidTr="00A029A5">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E41FEE" w:rsidRPr="00CF2E7C" w:rsidRDefault="00E41FEE" w:rsidP="00E41FEE">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tcPr>
          <w:p w14:paraId="2121F746" w14:textId="5D54C6CB" w:rsidR="00E41FEE" w:rsidRPr="00CF2E7C" w:rsidRDefault="00E41FEE" w:rsidP="00E41FEE">
            <w:pPr>
              <w:rPr>
                <w:rFonts w:ascii="Calibri" w:hAnsi="Calibri" w:cs="Calibri"/>
              </w:rPr>
            </w:pPr>
            <w:r w:rsidRPr="00634868">
              <w:rPr>
                <w:rFonts w:ascii="Calibri" w:hAnsi="Calibri" w:cs="Calibri"/>
              </w:rPr>
              <w:t xml:space="preserve">Does the </w:t>
            </w:r>
            <w:r w:rsidRPr="00634868">
              <w:rPr>
                <w:rFonts w:ascii="Calibri" w:eastAsia="Times New Roman" w:hAnsi="Calibri" w:cs="Calibri"/>
                <w:b/>
                <w:color w:val="7030A0"/>
                <w:kern w:val="0"/>
                <w:lang w:val="en-SG" w:eastAsia="en-GB"/>
                <w14:ligatures w14:val="none"/>
              </w:rPr>
              <w:t>policy tool</w:t>
            </w:r>
            <w:r w:rsidRPr="00634868">
              <w:rPr>
                <w:rFonts w:ascii="Calibri" w:eastAsia="Times New Roman" w:hAnsi="Calibri" w:cs="Calibri"/>
                <w:color w:val="7030A0"/>
                <w:kern w:val="0"/>
                <w:lang w:val="en-SG" w:eastAsia="en-GB"/>
                <w14:ligatures w14:val="none"/>
              </w:rPr>
              <w:t xml:space="preserve"> </w:t>
            </w:r>
            <w:r w:rsidRPr="00634868">
              <w:rPr>
                <w:rFonts w:ascii="Calibri" w:hAnsi="Calibri" w:cs="Calibri"/>
              </w:rPr>
              <w:t xml:space="preserve">recommend or require the integration of methane emissions into pricing schemes (such as national </w:t>
            </w:r>
            <w:r w:rsidRPr="00634868">
              <w:rPr>
                <w:rFonts w:ascii="Calibri" w:hAnsi="Calibri" w:cs="Calibri"/>
                <w:b/>
                <w:color w:val="7030A0"/>
              </w:rPr>
              <w:t xml:space="preserve">emissions trading schemes </w:t>
            </w:r>
            <w:r w:rsidRPr="00634868">
              <w:rPr>
                <w:rFonts w:ascii="Calibri" w:hAnsi="Calibri" w:cs="Calibri"/>
              </w:rPr>
              <w:t xml:space="preserve">and/or </w:t>
            </w:r>
            <w:r w:rsidRPr="00634868">
              <w:rPr>
                <w:rFonts w:ascii="Calibri" w:hAnsi="Calibri" w:cs="Calibri"/>
                <w:b/>
                <w:color w:val="7030A0"/>
              </w:rPr>
              <w:t>carbon tax</w:t>
            </w:r>
            <w:r w:rsidRPr="00634868">
              <w:rPr>
                <w:rFonts w:ascii="Calibri" w:hAnsi="Calibri" w:cs="Calibri"/>
                <w:b/>
                <w:bCs/>
                <w:color w:val="7030A0"/>
              </w:rPr>
              <w:t xml:space="preserve"> </w:t>
            </w:r>
            <w:r w:rsidRPr="00634868">
              <w:rPr>
                <w:rFonts w:ascii="Calibri" w:hAnsi="Calibri" w:cs="Calibri"/>
              </w:rPr>
              <w:t xml:space="preserve">schemes)? </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E41FEE" w:rsidRPr="00CF2E7C" w:rsidRDefault="00E41FEE" w:rsidP="00E41FEE">
            <w:pPr>
              <w:rPr>
                <w:rFonts w:ascii="Calibri" w:hAnsi="Calibri" w:cs="Calibri"/>
              </w:rPr>
            </w:pPr>
          </w:p>
        </w:tc>
      </w:tr>
      <w:tr w:rsidR="00E41FEE" w:rsidRPr="00CF2E7C" w14:paraId="6A2B2EDE" w14:textId="77777777" w:rsidTr="00A029A5">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E41FEE" w:rsidRPr="00CF2E7C" w:rsidRDefault="00E41FEE" w:rsidP="00E41FEE">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tcPr>
          <w:p w14:paraId="1C12CC58" w14:textId="7D5578FB" w:rsidR="00E41FEE" w:rsidRPr="00CF2E7C" w:rsidRDefault="00E41FEE" w:rsidP="00E41FEE">
            <w:pPr>
              <w:rPr>
                <w:rFonts w:ascii="Calibri" w:hAnsi="Calibri" w:cs="Calibri"/>
              </w:rPr>
            </w:pPr>
            <w:r w:rsidRPr="00634868">
              <w:rPr>
                <w:rFonts w:ascii="Calibri" w:hAnsi="Calibri" w:cs="Calibri"/>
              </w:rPr>
              <w:t xml:space="preserve">Does the </w:t>
            </w:r>
            <w:r w:rsidRPr="00634868">
              <w:rPr>
                <w:rFonts w:ascii="Calibri" w:eastAsia="Times New Roman" w:hAnsi="Calibri" w:cs="Calibri"/>
                <w:b/>
                <w:color w:val="7030A0"/>
                <w:kern w:val="0"/>
                <w:lang w:val="en-SG" w:eastAsia="en-GB"/>
                <w14:ligatures w14:val="none"/>
              </w:rPr>
              <w:t>policy tool</w:t>
            </w:r>
            <w:r w:rsidRPr="00634868">
              <w:rPr>
                <w:rFonts w:ascii="Calibri" w:eastAsia="Times New Roman" w:hAnsi="Calibri" w:cs="Calibri"/>
                <w:color w:val="7030A0"/>
                <w:kern w:val="0"/>
                <w:lang w:val="en-SG" w:eastAsia="en-GB"/>
                <w14:ligatures w14:val="none"/>
              </w:rPr>
              <w:t xml:space="preserve"> </w:t>
            </w:r>
            <w:r w:rsidRPr="00634868">
              <w:rPr>
                <w:rFonts w:ascii="Calibri" w:hAnsi="Calibri" w:cs="Calibri"/>
              </w:rPr>
              <w:t xml:space="preserve">recommend or require the integration of methane emissions into pricing schemes (such as national </w:t>
            </w:r>
            <w:r w:rsidRPr="00634868">
              <w:rPr>
                <w:rFonts w:ascii="Calibri" w:hAnsi="Calibri" w:cs="Calibri"/>
                <w:b/>
                <w:color w:val="7030A0"/>
              </w:rPr>
              <w:t xml:space="preserve">emissions trading schemes </w:t>
            </w:r>
            <w:r w:rsidRPr="00634868">
              <w:rPr>
                <w:rFonts w:ascii="Calibri" w:hAnsi="Calibri" w:cs="Calibri"/>
              </w:rPr>
              <w:t xml:space="preserve">and/or </w:t>
            </w:r>
            <w:r w:rsidRPr="00634868">
              <w:rPr>
                <w:rFonts w:ascii="Calibri" w:hAnsi="Calibri" w:cs="Calibri"/>
                <w:b/>
                <w:color w:val="7030A0"/>
              </w:rPr>
              <w:t>carbon tax</w:t>
            </w:r>
            <w:r w:rsidRPr="00634868">
              <w:rPr>
                <w:rFonts w:ascii="Calibri" w:hAnsi="Calibri" w:cs="Calibri"/>
                <w:b/>
                <w:bCs/>
                <w:color w:val="7030A0"/>
              </w:rPr>
              <w:t xml:space="preserve"> </w:t>
            </w:r>
            <w:r w:rsidRPr="00634868">
              <w:rPr>
                <w:rFonts w:ascii="Calibri" w:hAnsi="Calibri" w:cs="Calibri"/>
              </w:rPr>
              <w:t xml:space="preserve">schemes)? </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E41FEE" w:rsidRPr="00CF2E7C" w:rsidRDefault="00E41FEE" w:rsidP="00E41FEE">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lastRenderedPageBreak/>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6DF44D3" w:rsidR="002F0752" w:rsidRPr="33822AF7" w:rsidRDefault="007C35D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B66F351" w:rsidR="002F0752" w:rsidRPr="00CF2E7C" w:rsidRDefault="00970F39"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AB85918" w:rsidR="002F0752" w:rsidRPr="00CF2E7C" w:rsidRDefault="00970F39"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1BDD403"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1A7B63E3"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0AB3CB6B"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2E8F7415"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5065038C"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4E45FB5C"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DC8C8AB"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4AC73691"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78528A0"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A7454B3"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4BE210F2" w:rsidR="002F0752" w:rsidRPr="00CF2E7C" w:rsidRDefault="00766F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616C8B2"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31DFEA0"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0BE0F2D"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658FD07" w:rsidR="002F0752" w:rsidRPr="00CF2E7C" w:rsidRDefault="007B10A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EEFBA8E"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DD4983A"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FE0BD36"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6BC7C025"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9232B46"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5400290"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3AEF188"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974B01E"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C955434" w:rsidR="002F0752" w:rsidRPr="00CF2E7C" w:rsidRDefault="007B10AC"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7CC188C"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BD67B89"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791F49C"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E4E3E50"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AB97388"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561D419"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5128B3D"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437479ED" w:rsidR="002F0752" w:rsidRPr="00CF2E7C" w:rsidRDefault="007B10A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58032D" w14:textId="77777777" w:rsidR="00F62353" w:rsidRDefault="00F62353" w:rsidP="00874E39">
      <w:r>
        <w:separator/>
      </w:r>
    </w:p>
  </w:endnote>
  <w:endnote w:type="continuationSeparator" w:id="0">
    <w:p w14:paraId="2661E0A9" w14:textId="77777777" w:rsidR="00F62353" w:rsidRDefault="00F62353" w:rsidP="00874E39">
      <w:r>
        <w:continuationSeparator/>
      </w:r>
    </w:p>
  </w:endnote>
  <w:endnote w:type="continuationNotice" w:id="1">
    <w:p w14:paraId="240114D4" w14:textId="77777777" w:rsidR="00F62353" w:rsidRDefault="00F623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ECAD7D" w14:textId="77777777" w:rsidR="00F62353" w:rsidRDefault="00F62353" w:rsidP="00874E39">
      <w:r>
        <w:separator/>
      </w:r>
    </w:p>
  </w:footnote>
  <w:footnote w:type="continuationSeparator" w:id="0">
    <w:p w14:paraId="0FF53685" w14:textId="77777777" w:rsidR="00F62353" w:rsidRDefault="00F62353" w:rsidP="00874E39">
      <w:r>
        <w:continuationSeparator/>
      </w:r>
    </w:p>
  </w:footnote>
  <w:footnote w:type="continuationNotice" w:id="1">
    <w:p w14:paraId="2859C008" w14:textId="77777777" w:rsidR="00F62353" w:rsidRDefault="00F623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8143B8"/>
    <w:multiLevelType w:val="hybridMultilevel"/>
    <w:tmpl w:val="0C8A4F40"/>
    <w:lvl w:ilvl="0" w:tplc="F3CA0DA0">
      <w:start w:val="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421A6"/>
    <w:multiLevelType w:val="hybridMultilevel"/>
    <w:tmpl w:val="7B1C66A4"/>
    <w:lvl w:ilvl="0" w:tplc="732862CA">
      <w:start w:val="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21A4DBB"/>
    <w:multiLevelType w:val="hybridMultilevel"/>
    <w:tmpl w:val="A2D2D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0"/>
  </w:num>
  <w:num w:numId="12" w16cid:durableId="1344891410">
    <w:abstractNumId w:val="11"/>
  </w:num>
  <w:num w:numId="13" w16cid:durableId="2023899324">
    <w:abstractNumId w:val="13"/>
  </w:num>
  <w:num w:numId="14" w16cid:durableId="430587014">
    <w:abstractNumId w:val="9"/>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8"/>
  </w:num>
  <w:num w:numId="28" w16cid:durableId="537133110">
    <w:abstractNumId w:val="14"/>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7"/>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158429290">
    <w:abstractNumId w:val="43"/>
  </w:num>
  <w:num w:numId="50" w16cid:durableId="267198815">
    <w:abstractNumId w:val="2"/>
  </w:num>
  <w:num w:numId="51" w16cid:durableId="1652715241">
    <w:abstractNumId w:val="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2B1"/>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A39"/>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36F"/>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699"/>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10D"/>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A43"/>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9E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2E"/>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2729C"/>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8CF"/>
    <w:rsid w:val="003A0C73"/>
    <w:rsid w:val="003A0CBD"/>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0D7B"/>
    <w:rsid w:val="00461552"/>
    <w:rsid w:val="00463D40"/>
    <w:rsid w:val="00464C5E"/>
    <w:rsid w:val="0046509D"/>
    <w:rsid w:val="00465148"/>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1CD"/>
    <w:rsid w:val="004E4F56"/>
    <w:rsid w:val="004E51B5"/>
    <w:rsid w:val="004F0C55"/>
    <w:rsid w:val="004F276F"/>
    <w:rsid w:val="004F48E8"/>
    <w:rsid w:val="004F5354"/>
    <w:rsid w:val="00501CCF"/>
    <w:rsid w:val="00502833"/>
    <w:rsid w:val="00502C8A"/>
    <w:rsid w:val="00502F7A"/>
    <w:rsid w:val="0050412E"/>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3A44"/>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EAC"/>
    <w:rsid w:val="00553BB6"/>
    <w:rsid w:val="00554079"/>
    <w:rsid w:val="00554F39"/>
    <w:rsid w:val="0055593D"/>
    <w:rsid w:val="00556543"/>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020"/>
    <w:rsid w:val="005D7CD4"/>
    <w:rsid w:val="005E0296"/>
    <w:rsid w:val="005E264E"/>
    <w:rsid w:val="005E2F27"/>
    <w:rsid w:val="005E50FD"/>
    <w:rsid w:val="005E5723"/>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8FB"/>
    <w:rsid w:val="00601397"/>
    <w:rsid w:val="0060224F"/>
    <w:rsid w:val="00602D74"/>
    <w:rsid w:val="0060378D"/>
    <w:rsid w:val="00603B3F"/>
    <w:rsid w:val="00605278"/>
    <w:rsid w:val="00605595"/>
    <w:rsid w:val="00605726"/>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B2D"/>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F56"/>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34"/>
    <w:rsid w:val="007963A0"/>
    <w:rsid w:val="00796DBC"/>
    <w:rsid w:val="007976D7"/>
    <w:rsid w:val="007A24F7"/>
    <w:rsid w:val="007A316E"/>
    <w:rsid w:val="007A426C"/>
    <w:rsid w:val="007A5D75"/>
    <w:rsid w:val="007A6D5E"/>
    <w:rsid w:val="007A725A"/>
    <w:rsid w:val="007A746E"/>
    <w:rsid w:val="007A7701"/>
    <w:rsid w:val="007B10AC"/>
    <w:rsid w:val="007B1CB8"/>
    <w:rsid w:val="007B2322"/>
    <w:rsid w:val="007B25C8"/>
    <w:rsid w:val="007B3452"/>
    <w:rsid w:val="007B5F4C"/>
    <w:rsid w:val="007B6750"/>
    <w:rsid w:val="007B691E"/>
    <w:rsid w:val="007B6AD4"/>
    <w:rsid w:val="007B6E7E"/>
    <w:rsid w:val="007B7083"/>
    <w:rsid w:val="007B72B3"/>
    <w:rsid w:val="007B7633"/>
    <w:rsid w:val="007B7DEE"/>
    <w:rsid w:val="007B7FD7"/>
    <w:rsid w:val="007C2EAF"/>
    <w:rsid w:val="007C32D8"/>
    <w:rsid w:val="007C35D5"/>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90A"/>
    <w:rsid w:val="00860CA9"/>
    <w:rsid w:val="00861D43"/>
    <w:rsid w:val="00862AB1"/>
    <w:rsid w:val="00862EB9"/>
    <w:rsid w:val="008642FE"/>
    <w:rsid w:val="008650EB"/>
    <w:rsid w:val="0087096F"/>
    <w:rsid w:val="008709CF"/>
    <w:rsid w:val="00872479"/>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0B85"/>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9A5"/>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46D"/>
    <w:rsid w:val="00963A39"/>
    <w:rsid w:val="00963DC5"/>
    <w:rsid w:val="009649F8"/>
    <w:rsid w:val="00966139"/>
    <w:rsid w:val="00966160"/>
    <w:rsid w:val="00966C8D"/>
    <w:rsid w:val="0097030B"/>
    <w:rsid w:val="00970C82"/>
    <w:rsid w:val="00970F39"/>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C95"/>
    <w:rsid w:val="009F56B4"/>
    <w:rsid w:val="009F5822"/>
    <w:rsid w:val="009F676A"/>
    <w:rsid w:val="009F7316"/>
    <w:rsid w:val="00A01A45"/>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78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BA1"/>
    <w:rsid w:val="00AE3CBD"/>
    <w:rsid w:val="00AE5D21"/>
    <w:rsid w:val="00AE7C5F"/>
    <w:rsid w:val="00AF08A8"/>
    <w:rsid w:val="00AF2019"/>
    <w:rsid w:val="00AF26B7"/>
    <w:rsid w:val="00AF30FD"/>
    <w:rsid w:val="00AF3FC6"/>
    <w:rsid w:val="00AF4B5F"/>
    <w:rsid w:val="00AF5B6E"/>
    <w:rsid w:val="00AF79AE"/>
    <w:rsid w:val="00AF7DEF"/>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652"/>
    <w:rsid w:val="00B32231"/>
    <w:rsid w:val="00B34244"/>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C20"/>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C9F"/>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74DA"/>
    <w:rsid w:val="00C81DE5"/>
    <w:rsid w:val="00C82860"/>
    <w:rsid w:val="00C83528"/>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A7F9C"/>
    <w:rsid w:val="00CB14E6"/>
    <w:rsid w:val="00CB1649"/>
    <w:rsid w:val="00CB179D"/>
    <w:rsid w:val="00CB3E5E"/>
    <w:rsid w:val="00CB4EBD"/>
    <w:rsid w:val="00CB6338"/>
    <w:rsid w:val="00CB76AA"/>
    <w:rsid w:val="00CB790E"/>
    <w:rsid w:val="00CC10A8"/>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3EFE"/>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27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CAC"/>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1FEE"/>
    <w:rsid w:val="00E425D4"/>
    <w:rsid w:val="00E43229"/>
    <w:rsid w:val="00E454C9"/>
    <w:rsid w:val="00E506A8"/>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218"/>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353"/>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D12"/>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70713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218397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084747/https://www.gesetze-im-internet.de/d_v_201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7102623/https://oberverwaltungsgericht.niedersachsen.de/aktuelles/presseinformationen/ausweisung-der-roten-gebiete-in-niedersachsen-ist-unwirksam-239116.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purl.org/dc/terms/"/>
    <ds:schemaRef ds:uri="http://schemas.microsoft.com/office/2006/metadata/properties"/>
    <ds:schemaRef ds:uri="http://schemas.microsoft.com/office/2006/documentManagement/types"/>
    <ds:schemaRef ds:uri="http://purl.org/dc/elements/1.1/"/>
    <ds:schemaRef ds:uri="a84edb6d-cf86-4b2b-8a62-38e962ed6fbe"/>
    <ds:schemaRef ds:uri="http://schemas.microsoft.com/office/infopath/2007/PartnerControls"/>
    <ds:schemaRef ds:uri="http://schemas.openxmlformats.org/package/2006/metadata/core-properties"/>
    <ds:schemaRef ds:uri="f3ae4679-24f8-43cb-880e-0de6e561589c"/>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22561</Words>
  <Characters>128603</Characters>
  <Application>Microsoft Office Word</Application>
  <DocSecurity>0</DocSecurity>
  <Lines>1071</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57</cp:revision>
  <cp:lastPrinted>2025-03-21T00:14:00Z</cp:lastPrinted>
  <dcterms:created xsi:type="dcterms:W3CDTF">2025-06-20T15:57:00Z</dcterms:created>
  <dcterms:modified xsi:type="dcterms:W3CDTF">2025-07-07T11:44:00Z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